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>Hom</w:t>
      </w:r>
      <w:bookmarkStart w:id="0" w:name="_GoBack"/>
      <w:bookmarkEnd w:id="0"/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77730D">
        <w:rPr>
          <w:rFonts w:ascii="SassoonCRInfantMedium" w:hAnsi="SassoonCRInfantMedium"/>
          <w:b/>
          <w:sz w:val="32"/>
          <w:u w:val="single"/>
        </w:rPr>
        <w:t>5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03BE7">
        <w:rPr>
          <w:rFonts w:ascii="SassoonCRInfantMedium" w:hAnsi="SassoonCRInfantMedium"/>
          <w:b/>
          <w:sz w:val="32"/>
          <w:u w:val="single"/>
        </w:rPr>
        <w:t>5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77730D">
        <w:rPr>
          <w:rFonts w:ascii="SassoonCRInfantMedium" w:hAnsi="SassoonCRInfantMedium"/>
          <w:sz w:val="32"/>
          <w:highlight w:val="yellow"/>
        </w:rPr>
        <w:t>10</w:t>
      </w:r>
      <w:proofErr w:type="gramStart"/>
      <w:r w:rsidR="0077730D" w:rsidRPr="0077730D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77730D">
        <w:rPr>
          <w:rFonts w:ascii="SassoonCRInfantMedium" w:hAnsi="SassoonCRInfantMedium"/>
          <w:sz w:val="32"/>
          <w:highlight w:val="yellow"/>
        </w:rPr>
        <w:t xml:space="preserve"> </w:t>
      </w:r>
      <w:r w:rsidR="00976500">
        <w:rPr>
          <w:rFonts w:ascii="SassoonCRInfantMedium" w:hAnsi="SassoonCRInfantMedium"/>
          <w:sz w:val="32"/>
          <w:highlight w:val="yellow"/>
        </w:rPr>
        <w:t xml:space="preserve"> December</w:t>
      </w:r>
      <w:proofErr w:type="gramEnd"/>
      <w:r w:rsidR="00642FF9">
        <w:rPr>
          <w:rFonts w:ascii="SassoonCRInfantMedium" w:hAnsi="SassoonCRInfantMedium"/>
          <w:sz w:val="32"/>
          <w:highlight w:val="yellow"/>
        </w:rPr>
        <w:t xml:space="preserve">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7D2662" w:rsidTr="00E831ED">
        <w:tc>
          <w:tcPr>
            <w:tcW w:w="2689" w:type="dxa"/>
          </w:tcPr>
          <w:p w:rsidR="007D2662" w:rsidRDefault="007D2662" w:rsidP="007D2662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7D2662" w:rsidRDefault="007D2662" w:rsidP="007D2662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7D2662" w:rsidRDefault="007D2662" w:rsidP="007D2662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7D2662" w:rsidRDefault="007D2662" w:rsidP="007D2662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7D2662" w:rsidTr="00E831ED">
        <w:tc>
          <w:tcPr>
            <w:tcW w:w="2689" w:type="dxa"/>
          </w:tcPr>
          <w:p w:rsidR="007D2662" w:rsidRDefault="007D2662" w:rsidP="007D2662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continuing our unit on Multiplication and division  </w:t>
            </w:r>
          </w:p>
        </w:tc>
        <w:tc>
          <w:tcPr>
            <w:tcW w:w="1842" w:type="dxa"/>
          </w:tcPr>
          <w:p w:rsidR="007D2662" w:rsidRDefault="007D2662" w:rsidP="007D2662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will be finishing our unit on creating a Biography  </w:t>
            </w:r>
          </w:p>
        </w:tc>
        <w:tc>
          <w:tcPr>
            <w:tcW w:w="1843" w:type="dxa"/>
          </w:tcPr>
          <w:p w:rsidR="007D2662" w:rsidRDefault="007D2662" w:rsidP="007D2662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continuing our topic on Earth and Space </w:t>
            </w:r>
          </w:p>
        </w:tc>
        <w:tc>
          <w:tcPr>
            <w:tcW w:w="2642" w:type="dxa"/>
          </w:tcPr>
          <w:p w:rsidR="007D2662" w:rsidRDefault="007D2662" w:rsidP="007D2662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continuing our Unit on Judaism and its links to Christianity 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Counton.org - https://count-on.co.uk/</w:t>
            </w: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B33F61" w:rsidRDefault="00B33F61" w:rsidP="00B86A0C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sz w:val="28"/>
              </w:rPr>
              <w:t xml:space="preserve">Purple Mash have some great times table activities </w:t>
            </w:r>
          </w:p>
          <w:p w:rsidR="00B33F61" w:rsidRDefault="00B33F61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2A0CE6" w:rsidRDefault="002A0CE6" w:rsidP="0046572C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F419A8" w:rsidRDefault="00380556" w:rsidP="00976500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0563C0">
              <w:rPr>
                <w:rFonts w:ascii="SassoonCRInfantMedium" w:hAnsi="SassoonCRInfantMedium"/>
                <w:b/>
                <w:i/>
                <w:sz w:val="28"/>
              </w:rPr>
              <w:t xml:space="preserve">times tables and division </w:t>
            </w:r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B71304">
              <w:rPr>
                <w:rFonts w:ascii="SassoonCRInfantMedium" w:hAnsi="SassoonCRInfantMedium"/>
                <w:b/>
                <w:i/>
                <w:sz w:val="28"/>
              </w:rPr>
              <w:t xml:space="preserve">suffixes </w:t>
            </w:r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46572C" w:rsidRDefault="0046572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Pr="00955E33" w:rsidRDefault="002A0CE6" w:rsidP="0046572C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976500" w:rsidRDefault="00976500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B71304" w:rsidRDefault="00B71304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46572C" w:rsidRPr="0046572C" w:rsidRDefault="00C549C3" w:rsidP="00213D87">
      <w:pPr>
        <w:jc w:val="center"/>
        <w:rPr>
          <w:rFonts w:ascii="SassoonCRInfant" w:hAnsi="SassoonCRInfant"/>
          <w:sz w:val="24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CD32DD" w:rsidRDefault="002C6828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221" w:type="dxa"/>
          </w:tcPr>
          <w:p w:rsidR="002C6828" w:rsidRPr="00293654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2</w:t>
            </w:r>
          </w:p>
        </w:tc>
        <w:tc>
          <w:tcPr>
            <w:tcW w:w="2616" w:type="dxa"/>
          </w:tcPr>
          <w:p w:rsidR="002C6828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3</w:t>
            </w:r>
            <w:r w:rsidR="0046572C">
              <w:rPr>
                <w:rFonts w:ascii="SassoonCRInfant" w:hAnsi="SassoonCRInfant"/>
                <w:sz w:val="36"/>
                <w:u w:val="single"/>
              </w:rPr>
              <w:t xml:space="preserve"> – </w:t>
            </w:r>
          </w:p>
        </w:tc>
      </w:tr>
      <w:tr w:rsidR="00F64F1B" w:rsidTr="002C6828">
        <w:trPr>
          <w:trHeight w:val="3863"/>
        </w:trPr>
        <w:tc>
          <w:tcPr>
            <w:tcW w:w="3179" w:type="dxa"/>
          </w:tcPr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meet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meat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heel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heal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see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sea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son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sun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there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their</w:t>
            </w:r>
          </w:p>
        </w:tc>
        <w:tc>
          <w:tcPr>
            <w:tcW w:w="3221" w:type="dxa"/>
          </w:tcPr>
          <w:p w:rsidR="00F64F1B" w:rsidRDefault="0077730D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>N</w:t>
            </w:r>
            <w:r w:rsidR="00F64F1B" w:rsidRPr="00EA67FE">
              <w:rPr>
                <w:rFonts w:ascii="SassoonCRInfant" w:hAnsi="SassoonCRInfant"/>
                <w:sz w:val="32"/>
                <w:szCs w:val="32"/>
              </w:rPr>
              <w:t>atural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 occasional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actual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accidental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medical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national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capital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vocal 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>sensational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 persona</w:t>
            </w:r>
            <w:r>
              <w:rPr>
                <w:rFonts w:ascii="SassoonCRInfant" w:hAnsi="SassoonCRInfant"/>
                <w:sz w:val="32"/>
                <w:szCs w:val="32"/>
              </w:rPr>
              <w:t>l</w:t>
            </w:r>
          </w:p>
        </w:tc>
        <w:tc>
          <w:tcPr>
            <w:tcW w:w="2616" w:type="dxa"/>
          </w:tcPr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parties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weather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bare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bear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double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special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caught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although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decision</w:t>
            </w:r>
          </w:p>
          <w:p w:rsidR="00F64F1B" w:rsidRDefault="00F64F1B" w:rsidP="00F64F1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receive </w:t>
            </w:r>
          </w:p>
        </w:tc>
      </w:tr>
    </w:tbl>
    <w:p w:rsidR="00B33F61" w:rsidRDefault="00B33F61" w:rsidP="0001523C">
      <w:pPr>
        <w:rPr>
          <w:noProof/>
        </w:rPr>
      </w:pPr>
    </w:p>
    <w:p w:rsidR="00E03BE7" w:rsidRPr="00B33F61" w:rsidRDefault="00B33F61" w:rsidP="0001523C">
      <w:pPr>
        <w:rPr>
          <w:rFonts w:ascii="Comic Sans MS" w:hAnsi="Comic Sans MS"/>
          <w:sz w:val="24"/>
          <w:szCs w:val="40"/>
        </w:rPr>
      </w:pPr>
      <w:r w:rsidRPr="00B33F61">
        <w:rPr>
          <w:rFonts w:ascii="Comic Sans MS" w:hAnsi="Comic Sans MS"/>
          <w:sz w:val="24"/>
          <w:szCs w:val="40"/>
        </w:rPr>
        <w:t>Times table knowledge is so important to know</w:t>
      </w:r>
      <w:r>
        <w:rPr>
          <w:rFonts w:ascii="Comic Sans MS" w:hAnsi="Comic Sans MS"/>
          <w:sz w:val="24"/>
          <w:szCs w:val="40"/>
        </w:rPr>
        <w:t xml:space="preserve"> </w:t>
      </w:r>
      <w:r w:rsidR="0077730D">
        <w:rPr>
          <w:rFonts w:ascii="Comic Sans MS" w:hAnsi="Comic Sans MS"/>
          <w:sz w:val="24"/>
          <w:szCs w:val="40"/>
        </w:rPr>
        <w:t>specially</w:t>
      </w:r>
      <w:r>
        <w:rPr>
          <w:rFonts w:ascii="Comic Sans MS" w:hAnsi="Comic Sans MS"/>
          <w:sz w:val="24"/>
          <w:szCs w:val="40"/>
        </w:rPr>
        <w:t xml:space="preserve"> to help in other areas so p</w:t>
      </w:r>
      <w:r w:rsidRPr="00B33F61">
        <w:rPr>
          <w:rFonts w:ascii="Comic Sans MS" w:hAnsi="Comic Sans MS"/>
          <w:sz w:val="24"/>
          <w:szCs w:val="40"/>
        </w:rPr>
        <w:t xml:space="preserve">lease can times tables be practised </w:t>
      </w:r>
      <w:r>
        <w:rPr>
          <w:rFonts w:ascii="Comic Sans MS" w:hAnsi="Comic Sans MS"/>
          <w:sz w:val="24"/>
          <w:szCs w:val="40"/>
        </w:rPr>
        <w:t xml:space="preserve">daily </w:t>
      </w:r>
      <w:r w:rsidRPr="00B33F61">
        <w:rPr>
          <w:rFonts w:ascii="Comic Sans MS" w:hAnsi="Comic Sans MS"/>
          <w:sz w:val="24"/>
          <w:szCs w:val="40"/>
        </w:rPr>
        <w:t xml:space="preserve">especially if these aren’t fluent </w:t>
      </w:r>
      <w:r>
        <w:rPr>
          <w:rFonts w:ascii="Comic Sans MS" w:hAnsi="Comic Sans MS"/>
          <w:sz w:val="24"/>
          <w:szCs w:val="40"/>
        </w:rPr>
        <w:t xml:space="preserve">or your child is not confident with – it is essential. </w:t>
      </w:r>
    </w:p>
    <w:p w:rsidR="00E03BE7" w:rsidRDefault="00B33F61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>
            <wp:extent cx="5731510" cy="4296340"/>
            <wp:effectExtent l="0" t="0" r="2540" b="9525"/>
            <wp:docPr id="5" name="Picture 5" descr="https://files.pango.education/resource-thumbnails/10099d54-8f5a-4853-8cc3-fd266bf9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pango.education/resource-thumbnails/10099d54-8f5a-4853-8cc3-fd266bf9638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79" w:rsidRDefault="000563C0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342900</wp:posOffset>
            </wp:positionV>
            <wp:extent cx="6314440" cy="8168640"/>
            <wp:effectExtent l="0" t="0" r="0" b="3810"/>
            <wp:wrapNone/>
            <wp:docPr id="2" name="Picture 2" descr="https://www.math-salamanders.com/image-files/free-math-work-sheets-division-multiplication-fact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salamanders.com/image-files/free-math-work-sheets-division-multiplication-facts-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579">
        <w:rPr>
          <w:rFonts w:ascii="Comic Sans MS" w:hAnsi="Comic Sans MS"/>
          <w:sz w:val="40"/>
          <w:szCs w:val="40"/>
        </w:rPr>
        <w:t xml:space="preserve">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E03BE7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E03BE7" w:rsidRDefault="000563C0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7FD79A93" wp14:editId="5571F9DE">
            <wp:extent cx="7877735" cy="5867717"/>
            <wp:effectExtent l="0" t="4762" r="4762" b="476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7735" cy="58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864B92" w:rsidRDefault="00B71304" w:rsidP="000152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-220980</wp:posOffset>
            </wp:positionV>
            <wp:extent cx="6431280" cy="7399020"/>
            <wp:effectExtent l="0" t="0" r="7620" b="0"/>
            <wp:wrapNone/>
            <wp:docPr id="4" name="Picture 4" descr="https://www.math-salamanders.com/image-files/multiplication-table-worksheets-to-10x1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h-salamanders.com/image-files/multiplication-table-worksheets-to-10x10-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74" b="17575"/>
                    <a:stretch/>
                  </pic:blipFill>
                  <pic:spPr bwMode="auto">
                    <a:xfrm>
                      <a:off x="0" y="0"/>
                      <a:ext cx="643128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579">
        <w:rPr>
          <w:noProof/>
        </w:rPr>
        <w:t xml:space="preserve"> </w:t>
      </w:r>
    </w:p>
    <w:p w:rsidR="00864B92" w:rsidRDefault="00864B92" w:rsidP="0001523C">
      <w:pPr>
        <w:rPr>
          <w:noProof/>
        </w:rPr>
      </w:pPr>
    </w:p>
    <w:p w:rsidR="00864B92" w:rsidRDefault="00864B92" w:rsidP="0001523C">
      <w:pPr>
        <w:rPr>
          <w:noProof/>
        </w:rPr>
      </w:pPr>
    </w:p>
    <w:p w:rsidR="00864B92" w:rsidRDefault="00864B92" w:rsidP="0001523C">
      <w:pPr>
        <w:rPr>
          <w:noProof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694CD4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p w:rsidR="00694CD4" w:rsidRDefault="00694CD4" w:rsidP="0001523C">
      <w:pPr>
        <w:rPr>
          <w:rFonts w:ascii="Comic Sans MS" w:hAnsi="Comic Sans MS"/>
          <w:sz w:val="40"/>
          <w:szCs w:val="40"/>
        </w:rPr>
      </w:pPr>
    </w:p>
    <w:sectPr w:rsidR="00694CD4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5D" w:rsidRDefault="005B545D" w:rsidP="006B4D37">
      <w:pPr>
        <w:spacing w:after="0" w:line="240" w:lineRule="auto"/>
      </w:pPr>
      <w:r>
        <w:separator/>
      </w:r>
    </w:p>
  </w:endnote>
  <w:endnote w:type="continuationSeparator" w:id="0">
    <w:p w:rsidR="005B545D" w:rsidRDefault="005B545D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5D" w:rsidRDefault="005B545D" w:rsidP="006B4D37">
      <w:pPr>
        <w:spacing w:after="0" w:line="240" w:lineRule="auto"/>
      </w:pPr>
      <w:r>
        <w:separator/>
      </w:r>
    </w:p>
  </w:footnote>
  <w:footnote w:type="continuationSeparator" w:id="0">
    <w:p w:rsidR="005B545D" w:rsidRDefault="005B545D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4375E"/>
    <w:rsid w:val="00043F1B"/>
    <w:rsid w:val="0005183E"/>
    <w:rsid w:val="000563C0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E7E11"/>
    <w:rsid w:val="000F1403"/>
    <w:rsid w:val="000F3180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2708"/>
    <w:rsid w:val="001874BC"/>
    <w:rsid w:val="00187BBE"/>
    <w:rsid w:val="0019135E"/>
    <w:rsid w:val="001A7148"/>
    <w:rsid w:val="001D0EE8"/>
    <w:rsid w:val="001D2886"/>
    <w:rsid w:val="001E7385"/>
    <w:rsid w:val="001F2F95"/>
    <w:rsid w:val="00204223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C50A7"/>
    <w:rsid w:val="003D46D0"/>
    <w:rsid w:val="003D7F85"/>
    <w:rsid w:val="003E1A14"/>
    <w:rsid w:val="003E5347"/>
    <w:rsid w:val="003F2408"/>
    <w:rsid w:val="00417AA9"/>
    <w:rsid w:val="00420297"/>
    <w:rsid w:val="004266FF"/>
    <w:rsid w:val="00456572"/>
    <w:rsid w:val="00457872"/>
    <w:rsid w:val="004637EA"/>
    <w:rsid w:val="0046572C"/>
    <w:rsid w:val="00471523"/>
    <w:rsid w:val="004763F5"/>
    <w:rsid w:val="00487C5C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B545D"/>
    <w:rsid w:val="005C279B"/>
    <w:rsid w:val="005E0943"/>
    <w:rsid w:val="005F19BD"/>
    <w:rsid w:val="0061038B"/>
    <w:rsid w:val="00616DA2"/>
    <w:rsid w:val="00640AD6"/>
    <w:rsid w:val="00642FF9"/>
    <w:rsid w:val="006515A7"/>
    <w:rsid w:val="00663D4E"/>
    <w:rsid w:val="00667489"/>
    <w:rsid w:val="00671D3B"/>
    <w:rsid w:val="006818C6"/>
    <w:rsid w:val="00685168"/>
    <w:rsid w:val="00687F98"/>
    <w:rsid w:val="00694CD4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528F"/>
    <w:rsid w:val="00705730"/>
    <w:rsid w:val="00742F4C"/>
    <w:rsid w:val="00756402"/>
    <w:rsid w:val="007637FF"/>
    <w:rsid w:val="007703B2"/>
    <w:rsid w:val="00771FE1"/>
    <w:rsid w:val="00773B95"/>
    <w:rsid w:val="0077730D"/>
    <w:rsid w:val="00795B6E"/>
    <w:rsid w:val="00797B2D"/>
    <w:rsid w:val="007A0C69"/>
    <w:rsid w:val="007A0F1B"/>
    <w:rsid w:val="007A203F"/>
    <w:rsid w:val="007A389C"/>
    <w:rsid w:val="007A5FBA"/>
    <w:rsid w:val="007D2662"/>
    <w:rsid w:val="007D2FD0"/>
    <w:rsid w:val="007E01F7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538E"/>
    <w:rsid w:val="00864B92"/>
    <w:rsid w:val="008661DB"/>
    <w:rsid w:val="008740B8"/>
    <w:rsid w:val="008779D5"/>
    <w:rsid w:val="00881F8F"/>
    <w:rsid w:val="00883D4B"/>
    <w:rsid w:val="00883E2F"/>
    <w:rsid w:val="008A6E48"/>
    <w:rsid w:val="008B4C54"/>
    <w:rsid w:val="008B6490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3B38"/>
    <w:rsid w:val="00976500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4533"/>
    <w:rsid w:val="00AE52FA"/>
    <w:rsid w:val="00B05E12"/>
    <w:rsid w:val="00B15045"/>
    <w:rsid w:val="00B25121"/>
    <w:rsid w:val="00B33F61"/>
    <w:rsid w:val="00B40082"/>
    <w:rsid w:val="00B46FB7"/>
    <w:rsid w:val="00B57579"/>
    <w:rsid w:val="00B71304"/>
    <w:rsid w:val="00B86A0C"/>
    <w:rsid w:val="00B90D11"/>
    <w:rsid w:val="00B9162F"/>
    <w:rsid w:val="00B9464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54645"/>
    <w:rsid w:val="00C549C3"/>
    <w:rsid w:val="00C5515D"/>
    <w:rsid w:val="00C55E54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37C7D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0BCB"/>
    <w:rsid w:val="00E22FDA"/>
    <w:rsid w:val="00E231B7"/>
    <w:rsid w:val="00E2338F"/>
    <w:rsid w:val="00E424E2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2C47"/>
    <w:rsid w:val="00EF4399"/>
    <w:rsid w:val="00F00BD8"/>
    <w:rsid w:val="00F05F5D"/>
    <w:rsid w:val="00F15ACA"/>
    <w:rsid w:val="00F34268"/>
    <w:rsid w:val="00F419A8"/>
    <w:rsid w:val="00F46DCF"/>
    <w:rsid w:val="00F64F1B"/>
    <w:rsid w:val="00FB60F5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6A14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650F-34EA-4C21-B0BF-3995B0C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5</cp:revision>
  <cp:lastPrinted>2022-04-28T06:29:00Z</cp:lastPrinted>
  <dcterms:created xsi:type="dcterms:W3CDTF">2024-11-30T21:09:00Z</dcterms:created>
  <dcterms:modified xsi:type="dcterms:W3CDTF">2024-12-01T09:51:00Z</dcterms:modified>
</cp:coreProperties>
</file>